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98A" w:rsidRPr="0011598A" w:rsidRDefault="0011598A" w:rsidP="001159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к ТЗ №2</w:t>
      </w:r>
    </w:p>
    <w:p w:rsidR="00340357" w:rsidRPr="00340357" w:rsidRDefault="00340357" w:rsidP="003403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40357">
        <w:rPr>
          <w:rFonts w:ascii="Times New Roman" w:hAnsi="Times New Roman" w:cs="Times New Roman"/>
          <w:b/>
          <w:sz w:val="24"/>
          <w:szCs w:val="24"/>
        </w:rPr>
        <w:t>Рекомендации по предотвращени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340357">
        <w:rPr>
          <w:rFonts w:ascii="Times New Roman" w:hAnsi="Times New Roman" w:cs="Times New Roman"/>
          <w:b/>
          <w:sz w:val="24"/>
          <w:szCs w:val="24"/>
        </w:rPr>
        <w:t xml:space="preserve"> дальнейшего прогиба деформированного заднего экрана топки котла </w:t>
      </w:r>
      <w:r>
        <w:rPr>
          <w:rFonts w:ascii="Times New Roman" w:hAnsi="Times New Roman" w:cs="Times New Roman"/>
          <w:b/>
          <w:sz w:val="24"/>
          <w:szCs w:val="24"/>
        </w:rPr>
        <w:t xml:space="preserve">БКЗ-420 </w:t>
      </w:r>
      <w:r w:rsidR="002D39F7">
        <w:rPr>
          <w:rFonts w:ascii="Times New Roman" w:hAnsi="Times New Roman" w:cs="Times New Roman"/>
          <w:b/>
          <w:sz w:val="24"/>
          <w:szCs w:val="24"/>
        </w:rPr>
        <w:t>ст.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Петрозаводской ТЭЦ</w:t>
      </w:r>
    </w:p>
    <w:p w:rsidR="005B396D" w:rsidRPr="005B396D" w:rsidRDefault="005B396D" w:rsidP="005B396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96D">
        <w:rPr>
          <w:rFonts w:ascii="Times New Roman" w:hAnsi="Times New Roman" w:cs="Times New Roman"/>
          <w:sz w:val="24"/>
          <w:szCs w:val="24"/>
        </w:rPr>
        <w:t>Для предотвращения дальнейшего прогиба деформированного за</w:t>
      </w:r>
      <w:r w:rsidR="002D39F7">
        <w:rPr>
          <w:rFonts w:ascii="Times New Roman" w:hAnsi="Times New Roman" w:cs="Times New Roman"/>
          <w:sz w:val="24"/>
          <w:szCs w:val="24"/>
        </w:rPr>
        <w:t>днего экрана топки котла ст. № 1</w:t>
      </w:r>
      <w:r w:rsidRPr="005B396D">
        <w:rPr>
          <w:rFonts w:ascii="Times New Roman" w:hAnsi="Times New Roman" w:cs="Times New Roman"/>
          <w:sz w:val="24"/>
          <w:szCs w:val="24"/>
        </w:rPr>
        <w:t xml:space="preserve"> при возможном повторении ситуации, связанной с внезапным погасанием факела в топке и возникновением разрежения в топочной камере предлагаем крайние опорные балки верхнего и нижнего блоков экономайзера закрепить к фронтовой стене конвективного газохода с помощью шарнирного крепления с овальным пазом в соответствии с приложенным чертежом. </w:t>
      </w:r>
      <w:proofErr w:type="gramEnd"/>
    </w:p>
    <w:p w:rsidR="005B396D" w:rsidRPr="005B396D" w:rsidRDefault="005B396D" w:rsidP="005B396D">
      <w:pPr>
        <w:jc w:val="both"/>
        <w:rPr>
          <w:rFonts w:ascii="Times New Roman" w:hAnsi="Times New Roman" w:cs="Times New Roman"/>
          <w:sz w:val="24"/>
          <w:szCs w:val="24"/>
        </w:rPr>
      </w:pPr>
      <w:r w:rsidRPr="005B396D">
        <w:rPr>
          <w:rFonts w:ascii="Times New Roman" w:hAnsi="Times New Roman" w:cs="Times New Roman"/>
          <w:sz w:val="24"/>
          <w:szCs w:val="24"/>
        </w:rPr>
        <w:t>Кроме того, предлагаем дополнительно связать фронтовую и заднюю стены конвективного газохода по аналогичной схеме в проеме над верхним блоком экономайзера.</w:t>
      </w:r>
    </w:p>
    <w:sectPr w:rsidR="005B396D" w:rsidRPr="005B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6D"/>
    <w:rsid w:val="0011598A"/>
    <w:rsid w:val="002B5E54"/>
    <w:rsid w:val="002D39F7"/>
    <w:rsid w:val="00340357"/>
    <w:rsid w:val="005B396D"/>
    <w:rsid w:val="009A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4</cp:revision>
  <cp:lastPrinted>2013-03-06T05:54:00Z</cp:lastPrinted>
  <dcterms:created xsi:type="dcterms:W3CDTF">2013-02-13T04:34:00Z</dcterms:created>
  <dcterms:modified xsi:type="dcterms:W3CDTF">2013-03-06T05:54:00Z</dcterms:modified>
</cp:coreProperties>
</file>